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6D" w:rsidRPr="00183D27" w:rsidRDefault="004868D1" w:rsidP="00D90F27">
      <w:pPr>
        <w:jc w:val="both"/>
        <w:rPr>
          <w:b/>
          <w:sz w:val="48"/>
          <w:szCs w:val="48"/>
          <w:u w:val="single"/>
        </w:rPr>
      </w:pPr>
      <w:r w:rsidRPr="00C023AC">
        <w:rPr>
          <w:b/>
          <w:sz w:val="48"/>
          <w:szCs w:val="48"/>
          <w:u w:val="single"/>
        </w:rPr>
        <w:t>Applicability of Cash Flow</w:t>
      </w:r>
      <w:r w:rsidR="00655F77" w:rsidRPr="00C023AC">
        <w:rPr>
          <w:b/>
          <w:sz w:val="48"/>
          <w:szCs w:val="48"/>
          <w:u w:val="single"/>
        </w:rPr>
        <w:t xml:space="preserve"> Statement</w:t>
      </w:r>
    </w:p>
    <w:p w:rsidR="00655F77" w:rsidRDefault="00655F77" w:rsidP="00D90F27">
      <w:pPr>
        <w:jc w:val="both"/>
      </w:pPr>
      <w:r>
        <w:t xml:space="preserve">Unlike Companies Act, 1956, the Companies Act, 2013 includes Cash Flow Statements in the very definition of Financial Statements. As per Section 2 (40) of the Companies Act, 2013, “Financial Statement” in relation to a company, includes – </w:t>
      </w:r>
    </w:p>
    <w:p w:rsidR="00D90F27" w:rsidRDefault="00D90F27" w:rsidP="00D90F27">
      <w:pPr>
        <w:pStyle w:val="ListParagraph"/>
        <w:numPr>
          <w:ilvl w:val="0"/>
          <w:numId w:val="1"/>
        </w:numPr>
        <w:ind w:left="990" w:hanging="630"/>
        <w:jc w:val="both"/>
      </w:pPr>
      <w:r>
        <w:t xml:space="preserve">a balance sheet as at the end of the financial year; </w:t>
      </w:r>
    </w:p>
    <w:p w:rsidR="00D90F27" w:rsidRDefault="00D90F27" w:rsidP="00D90F27">
      <w:pPr>
        <w:pStyle w:val="ListParagraph"/>
        <w:numPr>
          <w:ilvl w:val="0"/>
          <w:numId w:val="1"/>
        </w:numPr>
        <w:ind w:left="990" w:hanging="630"/>
        <w:jc w:val="both"/>
      </w:pPr>
      <w:r>
        <w:t xml:space="preserve">a profit and loss account, or in the case of a company carrying on any activity not for profit, an income and expenditure account for the financial year; </w:t>
      </w:r>
    </w:p>
    <w:p w:rsidR="00D90F27" w:rsidRDefault="00D90F27" w:rsidP="00D90F27">
      <w:pPr>
        <w:pStyle w:val="ListParagraph"/>
        <w:numPr>
          <w:ilvl w:val="0"/>
          <w:numId w:val="1"/>
        </w:numPr>
        <w:ind w:left="990" w:hanging="630"/>
        <w:jc w:val="both"/>
      </w:pPr>
      <w:r>
        <w:t xml:space="preserve">cash flow statement for the financial year; </w:t>
      </w:r>
    </w:p>
    <w:p w:rsidR="00D90F27" w:rsidRDefault="00D90F27" w:rsidP="00D90F27">
      <w:pPr>
        <w:pStyle w:val="ListParagraph"/>
        <w:numPr>
          <w:ilvl w:val="0"/>
          <w:numId w:val="1"/>
        </w:numPr>
        <w:ind w:left="990" w:hanging="630"/>
        <w:jc w:val="both"/>
      </w:pPr>
      <w:r>
        <w:t xml:space="preserve">a statement of changes in equity, if applicable; and </w:t>
      </w:r>
    </w:p>
    <w:p w:rsidR="00655F77" w:rsidRDefault="00D90F27" w:rsidP="00D90F27">
      <w:pPr>
        <w:pStyle w:val="ListParagraph"/>
        <w:numPr>
          <w:ilvl w:val="0"/>
          <w:numId w:val="1"/>
        </w:numPr>
        <w:ind w:left="990" w:hanging="630"/>
        <w:jc w:val="both"/>
      </w:pPr>
      <w:r>
        <w:t>any explanatory note annexed to, or forming part of, any document referred to in sub-clause (i) to sub-clause (iv)</w:t>
      </w:r>
    </w:p>
    <w:p w:rsidR="00D90F27" w:rsidRDefault="00D90F27" w:rsidP="00D90F27">
      <w:pPr>
        <w:ind w:left="360"/>
        <w:jc w:val="both"/>
      </w:pPr>
      <w:r>
        <w:t>However the proviso to Section 2 (40) states: “Provided that the financial statement, with respect to One Person Company, small company and dormant company, may not include the cash flow statement”</w:t>
      </w:r>
    </w:p>
    <w:p w:rsidR="00D90F27" w:rsidRDefault="00D90F27" w:rsidP="00D90F27">
      <w:pPr>
        <w:ind w:left="360"/>
        <w:jc w:val="both"/>
        <w:rPr>
          <w:b/>
          <w:u w:val="single"/>
        </w:rPr>
      </w:pPr>
      <w:r w:rsidRPr="00D90F27">
        <w:rPr>
          <w:b/>
          <w:u w:val="single"/>
        </w:rPr>
        <w:t>Analysis of Proviso to Section 2 (40)</w:t>
      </w:r>
    </w:p>
    <w:p w:rsidR="005314DA" w:rsidRDefault="0092022E" w:rsidP="00D90F27">
      <w:pPr>
        <w:ind w:left="360"/>
        <w:jc w:val="both"/>
      </w:pPr>
      <w:r>
        <w:rPr>
          <w:noProof/>
        </w:rPr>
        <w:pict>
          <v:roundrect id="_x0000_s1037" style="position:absolute;left:0;text-align:left;margin-left:229.9pt;margin-top:18.35pt;width:194.4pt;height:225.35pt;z-index:251666432" arcsize="10923f">
            <v:textbox style="mso-next-textbox:#_x0000_s1037">
              <w:txbxContent>
                <w:p w:rsidR="00DA62C8" w:rsidRPr="001633CA" w:rsidRDefault="00DA62C8" w:rsidP="006C0666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Dormant</w:t>
                  </w:r>
                  <w:r w:rsidRPr="001633CA">
                    <w:rPr>
                      <w:b/>
                      <w:u w:val="single"/>
                    </w:rPr>
                    <w:t xml:space="preserve"> Company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>i.e. a Company which: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 xml:space="preserve">&gt; has not been carrying on any business or has not made any significant accounting transaction or has not filed financial statements and annual returns during the last 2 financial years </w:t>
                  </w:r>
                </w:p>
                <w:p w:rsidR="00DA62C8" w:rsidRDefault="00DA62C8" w:rsidP="006C0666">
                  <w:pPr>
                    <w:spacing w:after="0"/>
                  </w:pPr>
                  <w:r>
                    <w:t>&gt; has been formed and registered under this Act for a future project or to hold an asset or intellectual property and has no significant accounting transaction</w:t>
                  </w:r>
                </w:p>
                <w:p w:rsidR="00DA62C8" w:rsidRDefault="00DA62C8" w:rsidP="006C0666">
                  <w:pPr>
                    <w:spacing w:after="0"/>
                  </w:pPr>
                </w:p>
                <w:p w:rsidR="00DA62C8" w:rsidRDefault="00DA62C8" w:rsidP="006C0666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-58.75pt;margin-top:75.85pt;width:147.15pt;height:135.2pt;z-index:-251652096" arcsize="10923f" wrapcoords="3086 -120 2094 0 110 1200 -110 3000 -110 19200 1102 21000 2204 21480 2314 21480 19176 21480 19286 21480 20388 21000 21600 19200 21710 5640 21490 1320 19396 0 18404 -120 3086 -120">
            <v:textbox style="mso-next-textbox:#_x0000_s1035">
              <w:txbxContent>
                <w:p w:rsidR="00DA62C8" w:rsidRPr="001633CA" w:rsidRDefault="00DA62C8" w:rsidP="001633CA">
                  <w:pPr>
                    <w:spacing w:after="0"/>
                    <w:rPr>
                      <w:b/>
                      <w:u w:val="single"/>
                    </w:rPr>
                  </w:pPr>
                  <w:r w:rsidRPr="001633CA">
                    <w:rPr>
                      <w:b/>
                      <w:u w:val="single"/>
                    </w:rPr>
                    <w:t>One Person Company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>i.e. a Company which has only one person as a member.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.55pt;margin-top:60.2pt;width:0;height:15.65pt;z-index:-251653120" o:connectortype="straight" wrapcoords="3 1 1 17 3 20 8 20 10 17 9 6 7 1 3 1">
            <v:stroke endarrow="block"/>
            <w10:wrap type="through"/>
          </v:shape>
        </w:pict>
      </w:r>
      <w:r>
        <w:rPr>
          <w:noProof/>
        </w:rPr>
        <w:pict>
          <v:shape id="_x0000_s1027" type="#_x0000_t32" style="position:absolute;left:0;text-align:left;margin-left:244.15pt;margin-top:40.15pt;width:0;height:20.05pt;z-index:-251657216" o:connectortype="straight" wrapcoords="0 1 0 27 2 27 2 1 0 1">
            <w10:wrap type="through"/>
          </v:shape>
        </w:pict>
      </w:r>
      <w:r>
        <w:rPr>
          <w:noProof/>
        </w:rPr>
        <w:pict>
          <v:shape id="_x0000_s1032" type="#_x0000_t32" style="position:absolute;left:0;text-align:left;margin-left:473.3pt;margin-top:60.2pt;width:0;height:15.65pt;z-index:-251655168" o:connectortype="straight" wrapcoords="3 1 1 17 3 20 8 20 10 17 9 6 7 1 3 1">
            <v:stroke endarrow="block"/>
            <w10:wrap type="through"/>
          </v:shape>
        </w:pict>
      </w:r>
      <w:r>
        <w:rPr>
          <w:noProof/>
        </w:rPr>
        <w:pict>
          <v:roundrect id="_x0000_s1036" style="position:absolute;left:0;text-align:left;margin-left:114.95pt;margin-top:79pt;width:201.4pt;height:140.2pt;z-index:-251651072" arcsize="10923f" wrapcoords="2329 -116 1606 0 161 1155 -80 2657 -80 18828 401 20445 1526 21484 1767 21484 19753 21484 19994 21484 21118 20445 21680 18597 21600 2772 21439 1271 19914 0 19191 -116 2329 -116">
            <v:textbox style="mso-next-textbox:#_x0000_s1036">
              <w:txbxContent>
                <w:p w:rsidR="00DA62C8" w:rsidRPr="001633CA" w:rsidRDefault="00DA62C8" w:rsidP="001633CA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Small</w:t>
                  </w:r>
                  <w:r w:rsidRPr="001633CA">
                    <w:rPr>
                      <w:b/>
                      <w:u w:val="single"/>
                    </w:rPr>
                    <w:t xml:space="preserve"> Company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>i.e. a Company which: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>&gt; is not a public company,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 xml:space="preserve">&gt; has </w:t>
                  </w:r>
                  <w:r w:rsidRPr="00C22C20">
                    <w:rPr>
                      <w:b/>
                    </w:rPr>
                    <w:t xml:space="preserve">paid up share capital </w:t>
                  </w:r>
                  <w:r>
                    <w:t xml:space="preserve">not exceeding </w:t>
                  </w:r>
                  <w:r w:rsidRPr="00C22C20">
                    <w:rPr>
                      <w:b/>
                    </w:rPr>
                    <w:t>INR 50 lacs</w:t>
                  </w:r>
                  <w:r>
                    <w:t xml:space="preserve"> </w:t>
                  </w:r>
                  <w:r w:rsidRPr="006C0666">
                    <w:rPr>
                      <w:b/>
                    </w:rPr>
                    <w:t>and</w:t>
                  </w:r>
                </w:p>
                <w:p w:rsidR="00DA62C8" w:rsidRDefault="00DA62C8" w:rsidP="006C0666">
                  <w:pPr>
                    <w:spacing w:after="0"/>
                    <w:jc w:val="both"/>
                  </w:pPr>
                  <w:r>
                    <w:t xml:space="preserve">&gt; has a </w:t>
                  </w:r>
                  <w:r w:rsidRPr="00C22C20">
                    <w:rPr>
                      <w:b/>
                    </w:rPr>
                    <w:t>turnover</w:t>
                  </w:r>
                  <w:r>
                    <w:t xml:space="preserve"> in not exceeding </w:t>
                  </w:r>
                  <w:r w:rsidRPr="00C22C20">
                    <w:rPr>
                      <w:b/>
                    </w:rPr>
                    <w:t>INR 2 Crores</w:t>
                  </w:r>
                  <w:r>
                    <w:t xml:space="preserve"> in the preceding Financial Year</w:t>
                  </w:r>
                </w:p>
              </w:txbxContent>
            </v:textbox>
            <w10:wrap type="through"/>
          </v:roundrect>
        </w:pict>
      </w:r>
      <w:r>
        <w:rPr>
          <w:noProof/>
        </w:rPr>
        <w:pict>
          <v:shape id="_x0000_s1033" type="#_x0000_t32" style="position:absolute;left:0;text-align:left;margin-left:225.4pt;margin-top:60.2pt;width:0;height:15.65pt;z-index:-251654144" o:connectortype="straight" wrapcoords="3 1 1 17 3 20 8 20 10 17 9 6 7 1 3 1">
            <v:stroke endarrow="block"/>
            <w10:wrap type="through"/>
          </v:shape>
        </w:pict>
      </w:r>
      <w:r>
        <w:rPr>
          <w:noProof/>
        </w:rPr>
        <w:pict>
          <v:shape id="_x0000_s1028" type="#_x0000_t32" style="position:absolute;left:0;text-align:left;margin-left:17.55pt;margin-top:60.2pt;width:455.75pt;height:0;z-index:-251656192" o:connectortype="straight" wrapcoords="1 1 609 1 609 1 1 1 1 1">
            <w10:wrap type="through"/>
          </v:shape>
        </w:pict>
      </w:r>
      <w:r>
        <w:rPr>
          <w:noProof/>
        </w:rPr>
        <w:pict>
          <v:rect id="_x0000_s1026" style="position:absolute;left:0;text-align:left;margin-left:17.55pt;margin-top:.7pt;width:455.75pt;height:39.45pt;z-index:-251658240" wrapcoords="-36 -408 -36 21192 21636 21192 21636 -408 -36 -408">
            <v:textbox style="mso-next-textbox:#_x0000_s1026">
              <w:txbxContent>
                <w:p w:rsidR="00DA62C8" w:rsidRPr="00D90F27" w:rsidRDefault="00DA62C8" w:rsidP="00D90F27">
                  <w:pPr>
                    <w:jc w:val="center"/>
                  </w:pPr>
                  <w:r w:rsidRPr="00D90F27">
                    <w:t>Cash Flow Statements</w:t>
                  </w:r>
                  <w:r w:rsidR="00566975">
                    <w:t xml:space="preserve"> Shall Be Prepared Mandatorily as a</w:t>
                  </w:r>
                  <w:r w:rsidRPr="00D90F27">
                    <w:t xml:space="preserve"> Part Of Financial Statements By All Companies, Except The Three Mentioned Below</w:t>
                  </w:r>
                </w:p>
              </w:txbxContent>
            </v:textbox>
            <w10:wrap type="through"/>
          </v:rect>
        </w:pict>
      </w:r>
    </w:p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Pr="005314DA" w:rsidRDefault="005314DA" w:rsidP="005314DA"/>
    <w:p w:rsidR="005314DA" w:rsidRDefault="005314DA" w:rsidP="005314DA"/>
    <w:p w:rsidR="0007087F" w:rsidRDefault="0007087F" w:rsidP="0007087F">
      <w:pPr>
        <w:tabs>
          <w:tab w:val="left" w:pos="6361"/>
        </w:tabs>
        <w:spacing w:after="0"/>
        <w:jc w:val="both"/>
      </w:pPr>
    </w:p>
    <w:p w:rsidR="00EF2F6D" w:rsidRDefault="00EF2F6D" w:rsidP="0007087F">
      <w:pPr>
        <w:tabs>
          <w:tab w:val="left" w:pos="6361"/>
        </w:tabs>
        <w:spacing w:after="0"/>
        <w:jc w:val="both"/>
      </w:pPr>
    </w:p>
    <w:p w:rsidR="00EF2F6D" w:rsidRDefault="00EF2F6D" w:rsidP="0007087F">
      <w:pPr>
        <w:tabs>
          <w:tab w:val="left" w:pos="6361"/>
        </w:tabs>
        <w:spacing w:after="0"/>
        <w:jc w:val="both"/>
      </w:pPr>
    </w:p>
    <w:p w:rsidR="00EF2F6D" w:rsidRDefault="003F2289" w:rsidP="0007087F">
      <w:pPr>
        <w:tabs>
          <w:tab w:val="left" w:pos="6361"/>
        </w:tabs>
        <w:spacing w:after="0"/>
        <w:jc w:val="both"/>
      </w:pPr>
      <w:r>
        <w:t xml:space="preserve">You can get in touch with us for all your queries and concerns in relation to above at </w:t>
      </w:r>
      <w:hyperlink r:id="rId7" w:history="1">
        <w:r>
          <w:rPr>
            <w:rStyle w:val="Hyperlink"/>
          </w:rPr>
          <w:t>info@dcstax.in</w:t>
        </w:r>
      </w:hyperlink>
      <w:r>
        <w:t xml:space="preserve"> or visit us at </w:t>
      </w:r>
      <w:hyperlink r:id="rId8" w:history="1">
        <w:r w:rsidRPr="001B5043">
          <w:rPr>
            <w:rStyle w:val="Hyperlink"/>
          </w:rPr>
          <w:t>www.dcstax.in</w:t>
        </w:r>
      </w:hyperlink>
    </w:p>
    <w:p w:rsidR="003F2289" w:rsidRDefault="003F2289" w:rsidP="0007087F">
      <w:pPr>
        <w:tabs>
          <w:tab w:val="left" w:pos="6361"/>
        </w:tabs>
        <w:spacing w:after="0"/>
        <w:jc w:val="both"/>
      </w:pPr>
    </w:p>
    <w:p w:rsidR="0007087F" w:rsidRDefault="005314DA" w:rsidP="0007087F">
      <w:pPr>
        <w:tabs>
          <w:tab w:val="left" w:pos="6361"/>
        </w:tabs>
        <w:spacing w:after="0"/>
        <w:jc w:val="both"/>
      </w:pPr>
      <w:r>
        <w:rPr>
          <w:rFonts w:ascii="Arial" w:eastAsia="Times New Roman" w:hAnsi="Arial" w:cs="Arial"/>
          <w:noProof/>
          <w:color w:val="222222"/>
          <w:sz w:val="16"/>
          <w:szCs w:val="16"/>
        </w:rPr>
        <w:lastRenderedPageBreak/>
        <w:drawing>
          <wp:inline distT="0" distB="0" distL="0" distR="0">
            <wp:extent cx="1199056" cy="826935"/>
            <wp:effectExtent l="19050" t="0" r="1094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8338" cy="8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7F" w:rsidRDefault="005314DA" w:rsidP="0007087F">
      <w:pPr>
        <w:tabs>
          <w:tab w:val="left" w:pos="6361"/>
        </w:tabs>
        <w:spacing w:after="0"/>
        <w:jc w:val="both"/>
      </w:pPr>
      <w:r w:rsidRPr="00C91E38">
        <w:rPr>
          <w:rFonts w:ascii="Arial Black" w:eastAsia="Times New Roman" w:hAnsi="Arial Black" w:cs="Calibri"/>
          <w:b/>
          <w:bCs/>
          <w:color w:val="00B0F0"/>
          <w:sz w:val="24"/>
          <w:szCs w:val="24"/>
        </w:rPr>
        <w:t>Dudhoria Consultancy Services Pvt. Ltd.</w:t>
      </w:r>
    </w:p>
    <w:p w:rsidR="005314DA" w:rsidRPr="00C91E38" w:rsidRDefault="005314DA" w:rsidP="0007087F">
      <w:pPr>
        <w:shd w:val="clear" w:color="auto" w:fill="FFFFFF"/>
        <w:spacing w:after="0"/>
        <w:rPr>
          <w:rFonts w:ascii="Arial Black" w:eastAsia="Times New Roman" w:hAnsi="Arial Black" w:cs="Calibri"/>
          <w:color w:val="00B0F0"/>
          <w:sz w:val="15"/>
          <w:szCs w:val="15"/>
        </w:rPr>
      </w:pPr>
      <w:r w:rsidRPr="00C91E38">
        <w:rPr>
          <w:rFonts w:ascii="Arial Black" w:eastAsia="Times New Roman" w:hAnsi="Arial Black" w:cs="Calibri"/>
          <w:color w:val="00B0F0"/>
          <w:sz w:val="15"/>
          <w:szCs w:val="15"/>
        </w:rPr>
        <w:t>56, Netaji Subhas Road, 4th Floor, Kolkata – 700001</w:t>
      </w:r>
    </w:p>
    <w:p w:rsidR="00D90F27" w:rsidRPr="005314DA" w:rsidRDefault="005314DA" w:rsidP="0007087F">
      <w:pPr>
        <w:spacing w:after="0"/>
      </w:pPr>
      <w:r w:rsidRPr="00C91E38">
        <w:rPr>
          <w:rFonts w:ascii="Arial Black" w:eastAsia="Times New Roman" w:hAnsi="Arial Black" w:cs="Calibri"/>
          <w:color w:val="00B0F0"/>
          <w:sz w:val="15"/>
          <w:szCs w:val="15"/>
        </w:rPr>
        <w:t xml:space="preserve">E-mail us @ </w:t>
      </w:r>
      <w:hyperlink r:id="rId10" w:history="1">
        <w:r w:rsidRPr="00C91E38">
          <w:rPr>
            <w:rStyle w:val="Hyperlink"/>
            <w:rFonts w:ascii="Arial Black" w:eastAsia="Times New Roman" w:hAnsi="Arial Black" w:cs="Calibri"/>
            <w:color w:val="00B0F0"/>
            <w:sz w:val="15"/>
            <w:szCs w:val="15"/>
          </w:rPr>
          <w:t>info@dcstax.in</w:t>
        </w:r>
      </w:hyperlink>
      <w:r w:rsidRPr="00C91E38">
        <w:rPr>
          <w:rFonts w:ascii="Arial Black" w:eastAsia="Times New Roman" w:hAnsi="Arial Black" w:cs="Calibri"/>
          <w:color w:val="00B0F0"/>
          <w:sz w:val="15"/>
          <w:szCs w:val="15"/>
        </w:rPr>
        <w:t xml:space="preserve"> / </w:t>
      </w:r>
      <w:hyperlink r:id="rId11" w:history="1">
        <w:r w:rsidRPr="00C91E38">
          <w:rPr>
            <w:rStyle w:val="Hyperlink"/>
            <w:rFonts w:ascii="Arial Black" w:eastAsia="Times New Roman" w:hAnsi="Arial Black" w:cs="Calibri"/>
            <w:color w:val="00B0F0"/>
            <w:sz w:val="15"/>
            <w:szCs w:val="15"/>
          </w:rPr>
          <w:t>taxdcs@gmail.com</w:t>
        </w:r>
      </w:hyperlink>
    </w:p>
    <w:sectPr w:rsidR="00D90F27" w:rsidRPr="005314DA" w:rsidSect="00EF2F6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EA8" w:rsidRDefault="00147EA8" w:rsidP="005314DA">
      <w:pPr>
        <w:spacing w:after="0" w:line="240" w:lineRule="auto"/>
      </w:pPr>
      <w:r>
        <w:separator/>
      </w:r>
    </w:p>
  </w:endnote>
  <w:endnote w:type="continuationSeparator" w:id="1">
    <w:p w:rsidR="00147EA8" w:rsidRDefault="00147EA8" w:rsidP="0053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EA8" w:rsidRDefault="00147EA8" w:rsidP="005314DA">
      <w:pPr>
        <w:spacing w:after="0" w:line="240" w:lineRule="auto"/>
      </w:pPr>
      <w:r>
        <w:separator/>
      </w:r>
    </w:p>
  </w:footnote>
  <w:footnote w:type="continuationSeparator" w:id="1">
    <w:p w:rsidR="00147EA8" w:rsidRDefault="00147EA8" w:rsidP="0053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58F"/>
    <w:multiLevelType w:val="hybridMultilevel"/>
    <w:tmpl w:val="33EAF294"/>
    <w:lvl w:ilvl="0" w:tplc="C1348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8D1"/>
    <w:rsid w:val="0007087F"/>
    <w:rsid w:val="000D6D1A"/>
    <w:rsid w:val="00140852"/>
    <w:rsid w:val="00147EA8"/>
    <w:rsid w:val="001633CA"/>
    <w:rsid w:val="00183D27"/>
    <w:rsid w:val="003F2289"/>
    <w:rsid w:val="004868D1"/>
    <w:rsid w:val="005314DA"/>
    <w:rsid w:val="00566975"/>
    <w:rsid w:val="006353FF"/>
    <w:rsid w:val="00655F77"/>
    <w:rsid w:val="006C0666"/>
    <w:rsid w:val="00727DFE"/>
    <w:rsid w:val="0092022E"/>
    <w:rsid w:val="009C214B"/>
    <w:rsid w:val="00C023AC"/>
    <w:rsid w:val="00C22C20"/>
    <w:rsid w:val="00D46F80"/>
    <w:rsid w:val="00D90F27"/>
    <w:rsid w:val="00DA62C8"/>
    <w:rsid w:val="00E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2"/>
        <o:r id="V:Rule9" type="connector" idref="#_x0000_s1033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4DA"/>
  </w:style>
  <w:style w:type="paragraph" w:styleId="Footer">
    <w:name w:val="footer"/>
    <w:basedOn w:val="Normal"/>
    <w:link w:val="FooterChar"/>
    <w:uiPriority w:val="99"/>
    <w:semiHidden/>
    <w:unhideWhenUsed/>
    <w:rsid w:val="0053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4DA"/>
  </w:style>
  <w:style w:type="character" w:styleId="Hyperlink">
    <w:name w:val="Hyperlink"/>
    <w:basedOn w:val="DefaultParagraphFont"/>
    <w:uiPriority w:val="99"/>
    <w:unhideWhenUsed/>
    <w:rsid w:val="005314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stax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cstax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xdc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dcstax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Sambhav</cp:lastModifiedBy>
  <cp:revision>12</cp:revision>
  <dcterms:created xsi:type="dcterms:W3CDTF">2015-10-06T21:47:00Z</dcterms:created>
  <dcterms:modified xsi:type="dcterms:W3CDTF">2015-11-16T08:52:00Z</dcterms:modified>
</cp:coreProperties>
</file>